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-171448</wp:posOffset>
            </wp:positionH>
            <wp:positionV relativeFrom="paragraph">
              <wp:posOffset>474344</wp:posOffset>
            </wp:positionV>
            <wp:extent cx="2333625" cy="707954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0795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-317499</wp:posOffset>
                </wp:positionH>
                <wp:positionV relativeFrom="paragraph">
                  <wp:posOffset>114300</wp:posOffset>
                </wp:positionV>
                <wp:extent cx="6759575" cy="1006475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1978913" y="3289463"/>
                          <a:ext cx="6734175" cy="981075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4D23B7"/>
                        </a:solidFill>
                        <a:ln cap="flat" cmpd="sng" w="12700">
                          <a:solidFill>
                            <a:srgbClr val="31538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-317499</wp:posOffset>
                </wp:positionH>
                <wp:positionV relativeFrom="paragraph">
                  <wp:posOffset>114300</wp:posOffset>
                </wp:positionV>
                <wp:extent cx="6759575" cy="1006475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59575" cy="10064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2209800</wp:posOffset>
                </wp:positionH>
                <wp:positionV relativeFrom="paragraph">
                  <wp:posOffset>0</wp:posOffset>
                </wp:positionV>
                <wp:extent cx="4191000" cy="1114425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260025" y="3232313"/>
                          <a:ext cx="4171950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240" w:line="258.99999618530273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badi" w:cs="Abadi" w:eastAsia="Abadi" w:hAnsi="Abadi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40"/>
                                <w:vertAlign w:val="baseline"/>
                              </w:rPr>
                              <w:t xml:space="preserve">Política de prevención del consumo de sustancias psicoactivas, alcohol y tabaco.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2209800</wp:posOffset>
                </wp:positionH>
                <wp:positionV relativeFrom="paragraph">
                  <wp:posOffset>0</wp:posOffset>
                </wp:positionV>
                <wp:extent cx="4191000" cy="1114425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91000" cy="11144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/>
      </w:pPr>
      <w:r w:rsidDel="00000000" w:rsidR="00000000" w:rsidRPr="00000000">
        <w:rPr>
          <w:b w:val="1"/>
          <w:rtl w:val="0"/>
        </w:rPr>
        <w:t xml:space="preserve">FERRETERIA Y HERRERIA SANCHEZ</w:t>
      </w:r>
      <w:r w:rsidDel="00000000" w:rsidR="00000000" w:rsidRPr="00000000">
        <w:rPr>
          <w:rtl w:val="0"/>
        </w:rPr>
        <w:t xml:space="preserve"> acorde con normatividad vigente en Colombia, orientada hacia la disminución y erradicación del consumo y uso de Alcohol, Drogas, Sustancias Alucinógenas, psicoactivas y Tabaquismo; implementa esta política para que todos los trabajadores de la empresa, mientras que permanezcan en las instalaciones de la misma y/o en sus frentes de trabajo, estarán sujetos a las siguientes restricciones: </w:t>
      </w:r>
    </w:p>
    <w:p w:rsidR="00000000" w:rsidDel="00000000" w:rsidP="00000000" w:rsidRDefault="00000000" w:rsidRPr="00000000" w14:paraId="00000008">
      <w:pPr>
        <w:spacing w:after="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consumir alcohol o bebidas embriagantes, sustancias controladas y las catalogadas como narcóticos.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fumar dentro de las instalaciones de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FERRETERIA Y HERRERIA SANCHEZ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Todo trabajador al que se le hayan prescrito medicamentos que puedan afectar el desempeño seguro de sus funciones, debe notificar de inmediato al representante de salud ocupacional, Talento Humano o al jefe inmediato.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Los trabajadores de la empresa no pueden presentarse a laborar mientras estén bajo el efecto de cualquier sustancia restringida, lo cual significa tener en el organismo cualquier bebida embriagante o sustancia psicoactiva o alucinógena.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La empresa garantizara:</w:t>
      </w:r>
    </w:p>
    <w:p w:rsidR="00000000" w:rsidDel="00000000" w:rsidP="00000000" w:rsidRDefault="00000000" w:rsidRPr="00000000" w14:paraId="0000000F">
      <w:pPr>
        <w:spacing w:after="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Realizar todos los exámenes bajo condiciones razonables de sanidad y con el debido respeto por la privacidad del trabajo, regido por la ley 1566 del 2012.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Asumir todos los gastos de los exámenes médicos ocupacionales.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Rule="auto"/>
        <w:jc w:val="both"/>
        <w:rPr/>
      </w:pPr>
      <w:r w:rsidDel="00000000" w:rsidR="00000000" w:rsidRPr="00000000">
        <w:rPr>
          <w:b w:val="1"/>
          <w:sz w:val="24"/>
          <w:szCs w:val="24"/>
          <w:rtl w:val="0"/>
        </w:rPr>
        <w:t xml:space="preserve">FERRETERIA Y HERRERIA SANCHEZ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colaborara con los programas y/o eventos que se lleven a cabo para una buena utilización del tiempo libre, campañas de promoción y prevención para sus trabajadores. </w:t>
      </w:r>
    </w:p>
    <w:p w:rsidR="00000000" w:rsidDel="00000000" w:rsidP="00000000" w:rsidRDefault="00000000" w:rsidRPr="00000000" w14:paraId="00000014">
      <w:pPr>
        <w:spacing w:after="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La infracción de las disposiciones de esta política tendrá como resultado la aplicación de escala de faltas y sanciones disciplinarias previstas en el reglamento interno de trabajo. </w:t>
      </w:r>
    </w:p>
    <w:p w:rsidR="00000000" w:rsidDel="00000000" w:rsidP="00000000" w:rsidRDefault="00000000" w:rsidRPr="00000000" w14:paraId="00000016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Esta política entra en vigencia al momento de divulgar, capacitar y publicar en cartelera. </w:t>
      </w:r>
    </w:p>
    <w:p w:rsidR="00000000" w:rsidDel="00000000" w:rsidP="00000000" w:rsidRDefault="00000000" w:rsidRPr="00000000" w14:paraId="00000017">
      <w:pPr>
        <w:spacing w:after="0"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4219.0" w:type="dxa"/>
        <w:jc w:val="center"/>
        <w:tblBorders>
          <w:top w:color="000000" w:space="0" w:sz="4" w:val="single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219"/>
        <w:tblGridChange w:id="0">
          <w:tblGrid>
            <w:gridCol w:w="4219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María de los Ángeles Duarte de Sánchez </w:t>
            </w:r>
          </w:p>
          <w:p w:rsidR="00000000" w:rsidDel="00000000" w:rsidP="00000000" w:rsidRDefault="00000000" w:rsidRPr="00000000" w14:paraId="0000001C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Representante legal</w:t>
            </w:r>
          </w:p>
          <w:p w:rsidR="00000000" w:rsidDel="00000000" w:rsidP="00000000" w:rsidRDefault="00000000" w:rsidRPr="00000000" w14:paraId="0000001D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Octubre 2021</w:t>
            </w:r>
          </w:p>
        </w:tc>
      </w:tr>
    </w:tbl>
    <w:p w:rsidR="00000000" w:rsidDel="00000000" w:rsidP="00000000" w:rsidRDefault="00000000" w:rsidRPr="00000000" w14:paraId="0000001E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center"/>
        <w:rPr>
          <w:rFonts w:ascii="Abadi" w:cs="Abadi" w:eastAsia="Abadi" w:hAnsi="Abadi"/>
          <w:b w:val="1"/>
          <w:sz w:val="24"/>
          <w:szCs w:val="24"/>
        </w:rPr>
      </w:pPr>
      <w:r w:rsidDel="00000000" w:rsidR="00000000" w:rsidRPr="00000000">
        <w:rPr>
          <w:rFonts w:ascii="Abadi" w:cs="Abadi" w:eastAsia="Abadi" w:hAnsi="Abadi"/>
          <w:b w:val="1"/>
          <w:sz w:val="24"/>
          <w:szCs w:val="24"/>
          <w:rtl w:val="0"/>
        </w:rPr>
        <w:t xml:space="preserve">Control de gestión de cambios</w:t>
      </w:r>
    </w:p>
    <w:tbl>
      <w:tblPr>
        <w:tblStyle w:val="Table2"/>
        <w:tblW w:w="935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13"/>
        <w:gridCol w:w="5245"/>
        <w:gridCol w:w="2692"/>
        <w:tblGridChange w:id="0">
          <w:tblGrid>
            <w:gridCol w:w="1413"/>
            <w:gridCol w:w="5245"/>
            <w:gridCol w:w="269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Fecha</w:t>
            </w:r>
          </w:p>
        </w:tc>
        <w:tc>
          <w:tcPr/>
          <w:p w:rsidR="00000000" w:rsidDel="00000000" w:rsidP="00000000" w:rsidRDefault="00000000" w:rsidRPr="00000000" w14:paraId="00000021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Descripción del cambio</w:t>
            </w:r>
          </w:p>
        </w:tc>
        <w:tc>
          <w:tcPr/>
          <w:p w:rsidR="00000000" w:rsidDel="00000000" w:rsidP="00000000" w:rsidRDefault="00000000" w:rsidRPr="00000000" w14:paraId="00000022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Firma del responsable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6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jc w:val="both"/>
        <w:rPr>
          <w:rFonts w:ascii="Abadi" w:cs="Abadi" w:eastAsia="Abadi" w:hAnsi="Abad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both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Abadi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3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